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5C" w:rsidRPr="00BC4A5C" w:rsidRDefault="00BC4A5C" w:rsidP="00BC4A5C">
      <w:pPr>
        <w:spacing w:after="0" w:line="240" w:lineRule="auto"/>
        <w:jc w:val="center"/>
        <w:rPr>
          <w:rFonts w:ascii="Berlin Sans FB Demi" w:eastAsia="Times New Roman" w:hAnsi="Berlin Sans FB Demi" w:cs="Times New Roman"/>
          <w:b/>
          <w:sz w:val="48"/>
          <w:szCs w:val="19"/>
        </w:rPr>
      </w:pPr>
      <w:r w:rsidRPr="00BC4A5C">
        <w:rPr>
          <w:rFonts w:ascii="Berlin Sans FB Demi" w:eastAsia="Times New Roman" w:hAnsi="Berlin Sans FB Demi" w:cs="Times New Roman"/>
          <w:b/>
          <w:sz w:val="48"/>
          <w:szCs w:val="19"/>
        </w:rPr>
        <w:t xml:space="preserve">Executive Order No. 292 [BOOK V/Title I/Subtitle A/Chapter 2-Coverage of the </w:t>
      </w:r>
    </w:p>
    <w:p w:rsidR="00BC4A5C" w:rsidRPr="00BC4A5C" w:rsidRDefault="00BC4A5C" w:rsidP="00BC4A5C">
      <w:pPr>
        <w:spacing w:after="0" w:line="240" w:lineRule="auto"/>
        <w:jc w:val="center"/>
        <w:rPr>
          <w:rFonts w:ascii="Berlin Sans FB Demi" w:eastAsia="Times New Roman" w:hAnsi="Berlin Sans FB Demi" w:cs="Times New Roman"/>
          <w:b/>
          <w:sz w:val="48"/>
          <w:szCs w:val="19"/>
        </w:rPr>
      </w:pPr>
      <w:r w:rsidRPr="00BC4A5C">
        <w:rPr>
          <w:rFonts w:ascii="Berlin Sans FB Demi" w:eastAsia="Times New Roman" w:hAnsi="Berlin Sans FB Demi" w:cs="Times New Roman"/>
          <w:b/>
          <w:sz w:val="48"/>
          <w:szCs w:val="19"/>
        </w:rPr>
        <w:t>Civil Service</w:t>
      </w:r>
    </w:p>
    <w:p w:rsidR="00BC4A5C" w:rsidRDefault="00BC4A5C" w:rsidP="00BC4A5C">
      <w:pPr>
        <w:spacing w:after="0" w:line="240" w:lineRule="auto"/>
        <w:rPr>
          <w:rFonts w:ascii="Times New Roman" w:eastAsia="Times New Roman" w:hAnsi="Times New Roman" w:cs="Times New Roman"/>
          <w:color w:val="666666"/>
          <w:sz w:val="19"/>
          <w:szCs w:val="19"/>
        </w:rPr>
      </w:pPr>
    </w:p>
    <w:p w:rsidR="00BC4A5C" w:rsidRDefault="00BC4A5C" w:rsidP="00BC4A5C">
      <w:pPr>
        <w:spacing w:after="0" w:line="240" w:lineRule="auto"/>
        <w:rPr>
          <w:rFonts w:ascii="Times New Roman" w:eastAsia="Times New Roman" w:hAnsi="Times New Roman" w:cs="Times New Roman"/>
          <w:color w:val="666666"/>
          <w:sz w:val="19"/>
          <w:szCs w:val="19"/>
        </w:rPr>
      </w:pPr>
    </w:p>
    <w:p w:rsidR="00BC4A5C" w:rsidRDefault="00BC4A5C" w:rsidP="00BC4A5C">
      <w:pPr>
        <w:spacing w:after="0" w:line="240" w:lineRule="auto"/>
        <w:rPr>
          <w:rFonts w:ascii="Times New Roman" w:eastAsia="Times New Roman" w:hAnsi="Times New Roman" w:cs="Times New Roman"/>
          <w:color w:val="666666"/>
          <w:sz w:val="19"/>
          <w:szCs w:val="19"/>
        </w:rPr>
      </w:pPr>
    </w:p>
    <w:p w:rsidR="00BC4A5C" w:rsidRPr="00BC4A5C" w:rsidRDefault="00BC4A5C" w:rsidP="00BC4A5C">
      <w:pPr>
        <w:spacing w:before="100" w:beforeAutospacing="1" w:after="100" w:afterAutospacing="1" w:line="240" w:lineRule="auto"/>
        <w:jc w:val="center"/>
        <w:rPr>
          <w:rFonts w:ascii="Verdana" w:eastAsia="Times New Roman" w:hAnsi="Verdana" w:cs="Times New Roman"/>
          <w:b/>
          <w:bCs/>
          <w:color w:val="000000" w:themeColor="text1"/>
          <w:sz w:val="44"/>
          <w:szCs w:val="44"/>
        </w:rPr>
      </w:pPr>
      <w:r w:rsidRPr="00BC4A5C">
        <w:rPr>
          <w:rFonts w:ascii="Verdana" w:eastAsia="Times New Roman" w:hAnsi="Verdana" w:cs="Times New Roman"/>
          <w:b/>
          <w:bCs/>
          <w:color w:val="000000" w:themeColor="text1"/>
          <w:sz w:val="44"/>
          <w:szCs w:val="44"/>
        </w:rPr>
        <w:t>CHAPTER 2</w:t>
      </w:r>
    </w:p>
    <w:p w:rsidR="00BC4A5C" w:rsidRPr="00BC4A5C" w:rsidRDefault="00BC4A5C" w:rsidP="00BC4A5C">
      <w:pPr>
        <w:spacing w:before="100" w:beforeAutospacing="1" w:after="100" w:afterAutospacing="1" w:line="240" w:lineRule="auto"/>
        <w:jc w:val="center"/>
        <w:rPr>
          <w:rFonts w:ascii="Verdana" w:eastAsia="Times New Roman" w:hAnsi="Verdana" w:cs="Times New Roman"/>
          <w:color w:val="000000" w:themeColor="text1"/>
          <w:sz w:val="40"/>
          <w:szCs w:val="40"/>
        </w:rPr>
      </w:pPr>
      <w:r w:rsidRPr="00393AFA">
        <w:rPr>
          <w:rFonts w:ascii="Verdana" w:eastAsia="Times New Roman" w:hAnsi="Verdana" w:cs="Times New Roman"/>
          <w:b/>
          <w:bCs/>
          <w:color w:val="000000" w:themeColor="text1"/>
          <w:sz w:val="40"/>
          <w:szCs w:val="40"/>
        </w:rPr>
        <w:t>Coverage of the Civil Service</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proofErr w:type="gramStart"/>
      <w:r w:rsidRPr="00BC4A5C">
        <w:rPr>
          <w:rFonts w:ascii="Verdana" w:eastAsia="Times New Roman" w:hAnsi="Verdana" w:cs="Times New Roman"/>
          <w:b/>
          <w:bCs/>
          <w:color w:val="000000" w:themeColor="text1"/>
          <w:sz w:val="28"/>
          <w:szCs w:val="28"/>
        </w:rPr>
        <w:t>SECTION 6.</w:t>
      </w:r>
      <w:proofErr w:type="gramEnd"/>
      <w:r w:rsidRPr="00BC4A5C">
        <w:rPr>
          <w:rFonts w:ascii="Verdana" w:eastAsia="Times New Roman" w:hAnsi="Verdana" w:cs="Times New Roman"/>
          <w:b/>
          <w:bCs/>
          <w:color w:val="000000" w:themeColor="text1"/>
          <w:sz w:val="28"/>
          <w:szCs w:val="28"/>
        </w:rPr>
        <w:t> </w:t>
      </w:r>
      <w:r w:rsidRPr="00BC4A5C">
        <w:rPr>
          <w:rFonts w:ascii="Verdana" w:eastAsia="Times New Roman" w:hAnsi="Verdana" w:cs="Times New Roman"/>
          <w:color w:val="000000" w:themeColor="text1"/>
          <w:sz w:val="28"/>
          <w:szCs w:val="28"/>
        </w:rPr>
        <w:t>Scope of the Civil Service.—(1) The Civil Service embraces all branches, subdivisions, instrumentalities, and agencies of the Government, including government-owned or controlled corporations with original charters.</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(2) Positions in the Civil Service shall be classified into career service and non-career service.</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proofErr w:type="gramStart"/>
      <w:r w:rsidRPr="00BC4A5C">
        <w:rPr>
          <w:rFonts w:ascii="Verdana" w:eastAsia="Times New Roman" w:hAnsi="Verdana" w:cs="Times New Roman"/>
          <w:b/>
          <w:bCs/>
          <w:color w:val="000000" w:themeColor="text1"/>
          <w:sz w:val="28"/>
          <w:szCs w:val="28"/>
        </w:rPr>
        <w:t>SECTION 7.</w:t>
      </w:r>
      <w:proofErr w:type="gramEnd"/>
      <w:r w:rsidRPr="00BC4A5C">
        <w:rPr>
          <w:rFonts w:ascii="Verdana" w:eastAsia="Times New Roman" w:hAnsi="Verdana" w:cs="Times New Roman"/>
          <w:color w:val="000000" w:themeColor="text1"/>
          <w:sz w:val="28"/>
          <w:szCs w:val="28"/>
        </w:rPr>
        <w:t> Career Service.—The Career Service shall be characterized by (1) entrance based on merit and fitness to be determined as far as practicable by competitive examination, or based on highly technical qualifications; (2) opportunity for advancement to higher career positions; and (3) security of tenure.</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The Career Service shall include:</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(1) Open Career positions for appointment to which prior qualification in an appropriate examination is required;</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(2) Closed Career positions which are scientific, or highly technical in nature; these include the faculty and academic staff of state colleges and universities, and scientific and technical positions in scientific or research institutions which shall establish and maintain their own merit systems;</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 xml:space="preserve">(3) Positions in the Career Executive Service; namely, Undersecretary, Assistant Secretary, Bureau Director, Assistant Bureau Director, Regional Director, Assistant Regional Director, Chief of Department Service and other officers of equivalent rank as may </w:t>
      </w:r>
      <w:r w:rsidRPr="00BC4A5C">
        <w:rPr>
          <w:rFonts w:ascii="Verdana" w:eastAsia="Times New Roman" w:hAnsi="Verdana" w:cs="Times New Roman"/>
          <w:color w:val="000000" w:themeColor="text1"/>
          <w:sz w:val="28"/>
          <w:szCs w:val="28"/>
        </w:rPr>
        <w:lastRenderedPageBreak/>
        <w:t>be identified by the Career Executive Service Board, all of whom are appointed by the President;</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(4) Career officers, other than those in the Career Executive Service, who are appointed by the President, such as the Foreign Service Officers in the Department of Foreign Affairs;</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(5) Commissioned officers and enlisted men of the Armed Forces which shall maintain a separate merit system;</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(6) Personnel of government-owned or controlled corporations, whether performing governmental or proprietary functions, who do not fall under the non-career service; and</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(7) Permanent laborers, whether skilled, semi-skilled, or unskilled.</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proofErr w:type="gramStart"/>
      <w:r w:rsidRPr="00BC4A5C">
        <w:rPr>
          <w:rFonts w:ascii="Verdana" w:eastAsia="Times New Roman" w:hAnsi="Verdana" w:cs="Times New Roman"/>
          <w:b/>
          <w:bCs/>
          <w:color w:val="000000" w:themeColor="text1"/>
          <w:sz w:val="28"/>
          <w:szCs w:val="28"/>
        </w:rPr>
        <w:t>SECTION 8.</w:t>
      </w:r>
      <w:proofErr w:type="gramEnd"/>
      <w:r w:rsidRPr="00BC4A5C">
        <w:rPr>
          <w:rFonts w:ascii="Verdana" w:eastAsia="Times New Roman" w:hAnsi="Verdana" w:cs="Times New Roman"/>
          <w:color w:val="000000" w:themeColor="text1"/>
          <w:sz w:val="28"/>
          <w:szCs w:val="28"/>
        </w:rPr>
        <w:t xml:space="preserve"> Classes of Positions in the Career Service.—(1) </w:t>
      </w:r>
      <w:proofErr w:type="gramStart"/>
      <w:r w:rsidRPr="00BC4A5C">
        <w:rPr>
          <w:rFonts w:ascii="Verdana" w:eastAsia="Times New Roman" w:hAnsi="Verdana" w:cs="Times New Roman"/>
          <w:color w:val="000000" w:themeColor="text1"/>
          <w:sz w:val="28"/>
          <w:szCs w:val="28"/>
        </w:rPr>
        <w:t>Classes</w:t>
      </w:r>
      <w:proofErr w:type="gramEnd"/>
      <w:r w:rsidRPr="00BC4A5C">
        <w:rPr>
          <w:rFonts w:ascii="Verdana" w:eastAsia="Times New Roman" w:hAnsi="Verdana" w:cs="Times New Roman"/>
          <w:color w:val="000000" w:themeColor="text1"/>
          <w:sz w:val="28"/>
          <w:szCs w:val="28"/>
        </w:rPr>
        <w:t xml:space="preserve"> of positions in the career service appointment to which requires examinations shall be grouped into three major levels as follows:</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 xml:space="preserve">(a) The first level shall include clerical, trades, crafts, and custodial service positions which involve non-professional or </w:t>
      </w:r>
      <w:proofErr w:type="spellStart"/>
      <w:r w:rsidRPr="00BC4A5C">
        <w:rPr>
          <w:rFonts w:ascii="Verdana" w:eastAsia="Times New Roman" w:hAnsi="Verdana" w:cs="Times New Roman"/>
          <w:color w:val="000000" w:themeColor="text1"/>
          <w:sz w:val="28"/>
          <w:szCs w:val="28"/>
        </w:rPr>
        <w:t>subprofessional</w:t>
      </w:r>
      <w:proofErr w:type="spellEnd"/>
      <w:r w:rsidRPr="00BC4A5C">
        <w:rPr>
          <w:rFonts w:ascii="Verdana" w:eastAsia="Times New Roman" w:hAnsi="Verdana" w:cs="Times New Roman"/>
          <w:color w:val="000000" w:themeColor="text1"/>
          <w:sz w:val="28"/>
          <w:szCs w:val="28"/>
        </w:rPr>
        <w:t xml:space="preserve"> work in a non-supervisory or supervisory capacity requiring less than four years of collegiate studies;</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(b) The second level shall include professional, technical, and scientific positions which involve professional, technical, or scientific work in a non-supervisory or supervisory capacity requiring at least four years of college work up to Division Chief level; and</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(c) The third level shall cover positions in the Career Executive Service.</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(2) Except as herein otherwise provided, entrance to the first two levels shall be through competitive examinations, which shall be open to those inside and outside the service who meet the minimum qualification requirements. Entrance to a higher level does not require previous qualification in the lower level. Entrance to the third level shall be prescribed by the Career Executive Service Board.</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 xml:space="preserve">(3) Within the same level, no civil service examination shall be required for promotion to a higher position in one or more related </w:t>
      </w:r>
      <w:r w:rsidRPr="00BC4A5C">
        <w:rPr>
          <w:rFonts w:ascii="Verdana" w:eastAsia="Times New Roman" w:hAnsi="Verdana" w:cs="Times New Roman"/>
          <w:color w:val="000000" w:themeColor="text1"/>
          <w:sz w:val="28"/>
          <w:szCs w:val="28"/>
        </w:rPr>
        <w:lastRenderedPageBreak/>
        <w:t>occupational groups. A candidate for promotion should, however, have previously passed the examination for that level.</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proofErr w:type="gramStart"/>
      <w:r w:rsidRPr="00BC4A5C">
        <w:rPr>
          <w:rFonts w:ascii="Verdana" w:eastAsia="Times New Roman" w:hAnsi="Verdana" w:cs="Times New Roman"/>
          <w:b/>
          <w:bCs/>
          <w:color w:val="000000" w:themeColor="text1"/>
          <w:sz w:val="28"/>
          <w:szCs w:val="28"/>
        </w:rPr>
        <w:t>SECTION 9.</w:t>
      </w:r>
      <w:proofErr w:type="gramEnd"/>
      <w:r w:rsidRPr="00BC4A5C">
        <w:rPr>
          <w:rFonts w:ascii="Verdana" w:eastAsia="Times New Roman" w:hAnsi="Verdana" w:cs="Times New Roman"/>
          <w:color w:val="000000" w:themeColor="text1"/>
          <w:sz w:val="28"/>
          <w:szCs w:val="28"/>
        </w:rPr>
        <w:t> Non-Career Service.—The Non-Career Service shall be characterized by (1) entrance on bases other than those of the usual tests of merit and fitness utilized for the career service; and (2) tenure which is limited to a period specified by law, or which is coterminous with that of the appointing authority or subject to his pleasure, or which is limited to the duration of a particular project for which purpose employment was made.</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The Non-Career Service shall include:</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(1) Elective officials and their personal or confidential staff;</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(2) Secretaries and other officials of Cabinet rank who hold their positions at the pleasure of the President and their personal or confidential staff(s);</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(3) Chairman and members of commissions and boards with fixed terms of office and their personal or confidential staff;</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(4) Contractual personnel or those whose employment in the government is in accordance with a special contract to undertake a specific work or job, requiring special or technical skills not available in the employing agency, to be accomplished within a specific period, which in no case shall exceed one year, and performs or accomplishes the specific work or job, under his own responsibility with a minimum of direction and supervision from the hiring agency; and</w:t>
      </w:r>
    </w:p>
    <w:p w:rsidR="00BC4A5C" w:rsidRPr="00BC4A5C" w:rsidRDefault="00BC4A5C" w:rsidP="00BC4A5C">
      <w:pPr>
        <w:spacing w:before="100" w:beforeAutospacing="1" w:after="100" w:afterAutospacing="1" w:line="240" w:lineRule="auto"/>
        <w:jc w:val="both"/>
        <w:rPr>
          <w:rFonts w:ascii="Verdana" w:eastAsia="Times New Roman" w:hAnsi="Verdana" w:cs="Times New Roman"/>
          <w:color w:val="000000" w:themeColor="text1"/>
          <w:sz w:val="28"/>
          <w:szCs w:val="28"/>
        </w:rPr>
      </w:pPr>
      <w:r w:rsidRPr="00BC4A5C">
        <w:rPr>
          <w:rFonts w:ascii="Verdana" w:eastAsia="Times New Roman" w:hAnsi="Verdana" w:cs="Times New Roman"/>
          <w:color w:val="000000" w:themeColor="text1"/>
          <w:sz w:val="28"/>
          <w:szCs w:val="28"/>
        </w:rPr>
        <w:t>(5) Emergency and seasonal personnel.</w:t>
      </w:r>
    </w:p>
    <w:p w:rsidR="00544817" w:rsidRDefault="00BC4A5C">
      <w:pPr>
        <w:pBdr>
          <w:bottom w:val="single" w:sz="6" w:space="1" w:color="auto"/>
        </w:pBdr>
        <w:rPr>
          <w:rFonts w:ascii="inherit" w:eastAsia="Times New Roman" w:hAnsi="inherit" w:cs="Times New Roman"/>
          <w:color w:val="444444"/>
          <w:sz w:val="24"/>
          <w:szCs w:val="24"/>
        </w:rPr>
      </w:pPr>
      <w:r w:rsidRPr="00BC4A5C">
        <w:rPr>
          <w:rFonts w:ascii="inherit" w:eastAsia="Times New Roman" w:hAnsi="inherit" w:cs="Times New Roman"/>
          <w:color w:val="444444"/>
          <w:sz w:val="24"/>
          <w:szCs w:val="24"/>
        </w:rPr>
        <w:t>Executive Order No. 292 [BOOK V/Title I/Subtitle A/Chapter 2-Coverage of the Civil Service</w:t>
      </w:r>
    </w:p>
    <w:p w:rsidR="008B64DF" w:rsidRDefault="008B64DF">
      <w:pPr>
        <w:rPr>
          <w:rFonts w:ascii="inherit" w:eastAsia="Times New Roman" w:hAnsi="inherit" w:cs="Times New Roman"/>
          <w:color w:val="444444"/>
          <w:sz w:val="24"/>
          <w:szCs w:val="24"/>
        </w:rPr>
      </w:pPr>
      <w:bookmarkStart w:id="0" w:name="_GoBack"/>
      <w:bookmarkEnd w:id="0"/>
    </w:p>
    <w:p w:rsidR="008B64DF" w:rsidRPr="008B64DF" w:rsidRDefault="008B64DF" w:rsidP="008B64DF">
      <w:pPr>
        <w:jc w:val="center"/>
        <w:rPr>
          <w:sz w:val="32"/>
          <w:szCs w:val="32"/>
        </w:rPr>
      </w:pPr>
      <w:r w:rsidRPr="008B64DF">
        <w:rPr>
          <w:rFonts w:ascii="inherit" w:eastAsia="Times New Roman" w:hAnsi="inherit" w:cs="Times New Roman"/>
          <w:b/>
          <w:color w:val="FF0000"/>
          <w:sz w:val="32"/>
          <w:szCs w:val="32"/>
          <w:u w:val="single"/>
        </w:rPr>
        <w:t>Added Information</w:t>
      </w:r>
      <w:proofErr w:type="gramStart"/>
      <w:r w:rsidRPr="008B64DF">
        <w:rPr>
          <w:rFonts w:ascii="inherit" w:eastAsia="Times New Roman" w:hAnsi="inherit" w:cs="Times New Roman"/>
          <w:b/>
          <w:color w:val="FF0000"/>
          <w:sz w:val="32"/>
          <w:szCs w:val="32"/>
          <w:u w:val="single"/>
        </w:rPr>
        <w:t>:</w:t>
      </w:r>
      <w:proofErr w:type="gramEnd"/>
      <w:r w:rsidRPr="008B64DF">
        <w:rPr>
          <w:rFonts w:ascii="Agency FB" w:eastAsia="Times New Roman" w:hAnsi="Agency FB" w:cs="Times New Roman"/>
          <w:b/>
          <w:color w:val="0D0D0D" w:themeColor="text1" w:themeTint="F2"/>
          <w:sz w:val="32"/>
          <w:szCs w:val="32"/>
        </w:rPr>
        <w:br/>
        <w:t xml:space="preserve">Should anyone </w:t>
      </w:r>
      <w:r>
        <w:rPr>
          <w:rFonts w:ascii="Agency FB" w:eastAsia="Times New Roman" w:hAnsi="Agency FB" w:cs="Times New Roman"/>
          <w:b/>
          <w:color w:val="0D0D0D" w:themeColor="text1" w:themeTint="F2"/>
          <w:sz w:val="32"/>
          <w:szCs w:val="32"/>
        </w:rPr>
        <w:t xml:space="preserve">be </w:t>
      </w:r>
      <w:r w:rsidRPr="008B64DF">
        <w:rPr>
          <w:rFonts w:ascii="Agency FB" w:eastAsia="Times New Roman" w:hAnsi="Agency FB" w:cs="Times New Roman"/>
          <w:b/>
          <w:color w:val="0D0D0D" w:themeColor="text1" w:themeTint="F2"/>
          <w:sz w:val="32"/>
          <w:szCs w:val="32"/>
        </w:rPr>
        <w:t>willing to LEARN MORE ON THE DIFFERENT METHODS OF REVIEW PREPARATION FOR CIVIL SERVICE EXAM – PHILIPPINES, Please visit the link below:</w:t>
      </w:r>
      <w:r w:rsidRPr="008B64DF">
        <w:rPr>
          <w:rFonts w:ascii="Agency FB" w:eastAsia="Times New Roman" w:hAnsi="Agency FB" w:cs="Times New Roman"/>
          <w:b/>
          <w:color w:val="0D0D0D" w:themeColor="text1" w:themeTint="F2"/>
          <w:sz w:val="32"/>
          <w:szCs w:val="32"/>
        </w:rPr>
        <w:br/>
      </w:r>
      <w:r w:rsidRPr="008B64DF">
        <w:rPr>
          <w:rFonts w:ascii="inherit" w:eastAsia="Times New Roman" w:hAnsi="inherit" w:cs="Times New Roman"/>
          <w:color w:val="444444"/>
          <w:sz w:val="32"/>
          <w:szCs w:val="32"/>
        </w:rPr>
        <w:sym w:font="Wingdings" w:char="F0E0"/>
      </w:r>
      <w:r w:rsidRPr="008B64DF">
        <w:rPr>
          <w:rFonts w:ascii="inherit" w:eastAsia="Times New Roman" w:hAnsi="inherit" w:cs="Times New Roman"/>
          <w:color w:val="444444"/>
          <w:sz w:val="32"/>
          <w:szCs w:val="32"/>
        </w:rPr>
        <w:t xml:space="preserve"> </w:t>
      </w:r>
      <w:hyperlink r:id="rId5" w:history="1">
        <w:r w:rsidRPr="008B64DF">
          <w:rPr>
            <w:rStyle w:val="Hyperlink"/>
            <w:rFonts w:ascii="Arial" w:eastAsia="Times New Roman" w:hAnsi="Arial" w:cs="Arial"/>
            <w:sz w:val="28"/>
            <w:szCs w:val="32"/>
          </w:rPr>
          <w:t>http://helpmetopass.weebly.com/understanding-basics-of-civil-service.html</w:t>
        </w:r>
      </w:hyperlink>
      <w:r w:rsidRPr="008B64DF">
        <w:rPr>
          <w:rFonts w:ascii="inherit" w:eastAsia="Times New Roman" w:hAnsi="inherit" w:cs="Times New Roman"/>
          <w:color w:val="444444"/>
          <w:sz w:val="32"/>
          <w:szCs w:val="32"/>
        </w:rPr>
        <w:br/>
      </w:r>
    </w:p>
    <w:sectPr w:rsidR="008B64DF" w:rsidRPr="008B64DF" w:rsidSect="00BC4A5C">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5C"/>
    <w:rsid w:val="00393AFA"/>
    <w:rsid w:val="00544817"/>
    <w:rsid w:val="006B0231"/>
    <w:rsid w:val="008B64DF"/>
    <w:rsid w:val="00BC4A5C"/>
    <w:rsid w:val="00F0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4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A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BC4A5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A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A5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C4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C4A5C"/>
    <w:rPr>
      <w:color w:val="0000FF"/>
      <w:u w:val="single"/>
    </w:rPr>
  </w:style>
  <w:style w:type="character" w:customStyle="1" w:styleId="posted-on">
    <w:name w:val="posted-on"/>
    <w:basedOn w:val="DefaultParagraphFont"/>
    <w:rsid w:val="00BC4A5C"/>
  </w:style>
  <w:style w:type="character" w:customStyle="1" w:styleId="apple-converted-space">
    <w:name w:val="apple-converted-space"/>
    <w:basedOn w:val="DefaultParagraphFont"/>
    <w:rsid w:val="00BC4A5C"/>
  </w:style>
  <w:style w:type="character" w:styleId="Strong">
    <w:name w:val="Strong"/>
    <w:basedOn w:val="DefaultParagraphFont"/>
    <w:uiPriority w:val="22"/>
    <w:qFormat/>
    <w:rsid w:val="00BC4A5C"/>
    <w:rPr>
      <w:b/>
      <w:bCs/>
    </w:rPr>
  </w:style>
  <w:style w:type="paragraph" w:styleId="NormalWeb">
    <w:name w:val="Normal (Web)"/>
    <w:basedOn w:val="Normal"/>
    <w:uiPriority w:val="99"/>
    <w:semiHidden/>
    <w:unhideWhenUsed/>
    <w:rsid w:val="00BC4A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4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A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BC4A5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A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A5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C4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C4A5C"/>
    <w:rPr>
      <w:color w:val="0000FF"/>
      <w:u w:val="single"/>
    </w:rPr>
  </w:style>
  <w:style w:type="character" w:customStyle="1" w:styleId="posted-on">
    <w:name w:val="posted-on"/>
    <w:basedOn w:val="DefaultParagraphFont"/>
    <w:rsid w:val="00BC4A5C"/>
  </w:style>
  <w:style w:type="character" w:customStyle="1" w:styleId="apple-converted-space">
    <w:name w:val="apple-converted-space"/>
    <w:basedOn w:val="DefaultParagraphFont"/>
    <w:rsid w:val="00BC4A5C"/>
  </w:style>
  <w:style w:type="character" w:styleId="Strong">
    <w:name w:val="Strong"/>
    <w:basedOn w:val="DefaultParagraphFont"/>
    <w:uiPriority w:val="22"/>
    <w:qFormat/>
    <w:rsid w:val="00BC4A5C"/>
    <w:rPr>
      <w:b/>
      <w:bCs/>
    </w:rPr>
  </w:style>
  <w:style w:type="paragraph" w:styleId="NormalWeb">
    <w:name w:val="Normal (Web)"/>
    <w:basedOn w:val="Normal"/>
    <w:uiPriority w:val="99"/>
    <w:semiHidden/>
    <w:unhideWhenUsed/>
    <w:rsid w:val="00BC4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9999">
      <w:bodyDiv w:val="1"/>
      <w:marLeft w:val="0"/>
      <w:marRight w:val="0"/>
      <w:marTop w:val="0"/>
      <w:marBottom w:val="0"/>
      <w:divBdr>
        <w:top w:val="none" w:sz="0" w:space="0" w:color="auto"/>
        <w:left w:val="none" w:sz="0" w:space="0" w:color="auto"/>
        <w:bottom w:val="none" w:sz="0" w:space="0" w:color="auto"/>
        <w:right w:val="none" w:sz="0" w:space="0" w:color="auto"/>
      </w:divBdr>
      <w:divsChild>
        <w:div w:id="678049677">
          <w:marLeft w:val="0"/>
          <w:marRight w:val="0"/>
          <w:marTop w:val="0"/>
          <w:marBottom w:val="0"/>
          <w:divBdr>
            <w:top w:val="none" w:sz="0" w:space="0" w:color="auto"/>
            <w:left w:val="none" w:sz="0" w:space="0" w:color="auto"/>
            <w:bottom w:val="single" w:sz="6" w:space="0" w:color="F2F2F2"/>
            <w:right w:val="none" w:sz="0" w:space="0" w:color="auto"/>
          </w:divBdr>
          <w:divsChild>
            <w:div w:id="2097631779">
              <w:marLeft w:val="0"/>
              <w:marRight w:val="0"/>
              <w:marTop w:val="0"/>
              <w:marBottom w:val="0"/>
              <w:divBdr>
                <w:top w:val="none" w:sz="0" w:space="0" w:color="auto"/>
                <w:left w:val="none" w:sz="0" w:space="0" w:color="auto"/>
                <w:bottom w:val="none" w:sz="0" w:space="0" w:color="auto"/>
                <w:right w:val="none" w:sz="0" w:space="0" w:color="auto"/>
              </w:divBdr>
              <w:divsChild>
                <w:div w:id="16661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547">
          <w:marLeft w:val="0"/>
          <w:marRight w:val="0"/>
          <w:marTop w:val="0"/>
          <w:marBottom w:val="0"/>
          <w:divBdr>
            <w:top w:val="none" w:sz="0" w:space="0" w:color="auto"/>
            <w:left w:val="none" w:sz="0" w:space="0" w:color="auto"/>
            <w:bottom w:val="none" w:sz="0" w:space="0" w:color="auto"/>
            <w:right w:val="none" w:sz="0" w:space="0" w:color="auto"/>
          </w:divBdr>
          <w:divsChild>
            <w:div w:id="1563833992">
              <w:marLeft w:val="0"/>
              <w:marRight w:val="0"/>
              <w:marTop w:val="0"/>
              <w:marBottom w:val="0"/>
              <w:divBdr>
                <w:top w:val="none" w:sz="0" w:space="0" w:color="auto"/>
                <w:left w:val="none" w:sz="0" w:space="0" w:color="auto"/>
                <w:bottom w:val="none" w:sz="0" w:space="0" w:color="auto"/>
                <w:right w:val="none" w:sz="0" w:space="0" w:color="auto"/>
              </w:divBdr>
              <w:divsChild>
                <w:div w:id="8817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6987">
          <w:marLeft w:val="0"/>
          <w:marRight w:val="0"/>
          <w:marTop w:val="0"/>
          <w:marBottom w:val="0"/>
          <w:divBdr>
            <w:top w:val="none" w:sz="0" w:space="0" w:color="auto"/>
            <w:left w:val="none" w:sz="0" w:space="0" w:color="auto"/>
            <w:bottom w:val="none" w:sz="0" w:space="0" w:color="auto"/>
            <w:right w:val="none" w:sz="0" w:space="0" w:color="auto"/>
          </w:divBdr>
          <w:divsChild>
            <w:div w:id="2059893127">
              <w:marLeft w:val="0"/>
              <w:marRight w:val="0"/>
              <w:marTop w:val="0"/>
              <w:marBottom w:val="0"/>
              <w:divBdr>
                <w:top w:val="none" w:sz="0" w:space="0" w:color="auto"/>
                <w:left w:val="none" w:sz="0" w:space="0" w:color="auto"/>
                <w:bottom w:val="none" w:sz="0" w:space="0" w:color="auto"/>
                <w:right w:val="none" w:sz="0" w:space="0" w:color="auto"/>
              </w:divBdr>
              <w:divsChild>
                <w:div w:id="3099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3995">
      <w:bodyDiv w:val="1"/>
      <w:marLeft w:val="0"/>
      <w:marRight w:val="0"/>
      <w:marTop w:val="0"/>
      <w:marBottom w:val="0"/>
      <w:divBdr>
        <w:top w:val="none" w:sz="0" w:space="0" w:color="auto"/>
        <w:left w:val="none" w:sz="0" w:space="0" w:color="auto"/>
        <w:bottom w:val="none" w:sz="0" w:space="0" w:color="auto"/>
        <w:right w:val="none" w:sz="0" w:space="0" w:color="auto"/>
      </w:divBdr>
    </w:div>
    <w:div w:id="18190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lpmetopass.weebly.com/understanding-basics-of-civil-servi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MOMMYSTORE</dc:creator>
  <cp:lastModifiedBy>MOMMYSTORE</cp:lastModifiedBy>
  <cp:revision>4</cp:revision>
  <cp:lastPrinted>2016-06-25T03:49:00Z</cp:lastPrinted>
  <dcterms:created xsi:type="dcterms:W3CDTF">2016-06-25T02:38:00Z</dcterms:created>
  <dcterms:modified xsi:type="dcterms:W3CDTF">2016-06-25T03:50:00Z</dcterms:modified>
</cp:coreProperties>
</file>